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宋体" w:cs="Arial"/>
          <w:b/>
          <w:sz w:val="36"/>
          <w:szCs w:val="44"/>
          <w:lang w:val="en-US" w:eastAsia="zh-CN"/>
        </w:rPr>
      </w:pPr>
      <w:r>
        <w:rPr>
          <w:rFonts w:hint="eastAsia" w:ascii="Arial" w:hAnsi="Arial" w:eastAsia="宋体" w:cs="Arial"/>
          <w:b/>
          <w:sz w:val="36"/>
          <w:szCs w:val="44"/>
          <w:lang w:val="en-US" w:eastAsia="zh-CN"/>
        </w:rPr>
        <w:t>友谊县国有企业退休人员社会化管理</w:t>
      </w:r>
    </w:p>
    <w:p>
      <w:pPr>
        <w:jc w:val="center"/>
        <w:rPr>
          <w:rFonts w:ascii="宋体" w:hAnsi="宋体" w:eastAsia="宋体" w:cs="宋体"/>
          <w:b/>
          <w:sz w:val="36"/>
          <w:szCs w:val="44"/>
        </w:rPr>
      </w:pPr>
      <w:r>
        <w:rPr>
          <w:rFonts w:hint="eastAsia" w:ascii="宋体" w:hAnsi="宋体" w:eastAsia="宋体" w:cs="宋体"/>
          <w:b/>
          <w:sz w:val="36"/>
          <w:szCs w:val="44"/>
        </w:rPr>
        <w:t>转移支付</w:t>
      </w:r>
      <w:r>
        <w:rPr>
          <w:rFonts w:ascii="Arial" w:hAnsi="Arial" w:eastAsia="宋体" w:cs="Arial"/>
          <w:b/>
          <w:sz w:val="36"/>
          <w:szCs w:val="44"/>
        </w:rPr>
        <w:t>202</w:t>
      </w:r>
      <w:r>
        <w:rPr>
          <w:rFonts w:hint="eastAsia" w:ascii="Arial" w:hAnsi="Arial" w:eastAsia="宋体" w:cs="Arial"/>
          <w:b/>
          <w:sz w:val="36"/>
          <w:szCs w:val="44"/>
          <w:lang w:val="en-US" w:eastAsia="zh-CN"/>
        </w:rPr>
        <w:t>1</w:t>
      </w:r>
      <w:r>
        <w:rPr>
          <w:rFonts w:hint="eastAsia" w:ascii="宋体" w:hAnsi="宋体" w:eastAsia="宋体" w:cs="宋体"/>
          <w:b/>
          <w:sz w:val="36"/>
          <w:szCs w:val="44"/>
        </w:rPr>
        <w:t>年度绩效自评报告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bCs/>
          <w:szCs w:val="32"/>
        </w:rPr>
      </w:pPr>
      <w:r>
        <w:rPr>
          <w:rFonts w:hint="eastAsia" w:ascii="黑体" w:hAnsi="黑体" w:eastAsia="黑体" w:cs="黑体"/>
          <w:bCs/>
          <w:szCs w:val="32"/>
          <w:lang w:val="en-US" w:eastAsia="zh-CN"/>
        </w:rPr>
        <w:t xml:space="preserve">   一、</w:t>
      </w:r>
      <w:r>
        <w:rPr>
          <w:rFonts w:hint="eastAsia" w:ascii="黑体" w:hAnsi="黑体" w:eastAsia="黑体" w:cs="黑体"/>
          <w:bCs/>
          <w:szCs w:val="32"/>
        </w:rPr>
        <w:t>绩效目标分解下达情况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szCs w:val="32"/>
        </w:rPr>
      </w:pPr>
      <w:r>
        <w:rPr>
          <w:rFonts w:hint="eastAsia" w:ascii="仿宋_GB2312"/>
          <w:szCs w:val="32"/>
        </w:rPr>
        <w:t>（一）中央下达本</w:t>
      </w:r>
      <w:r>
        <w:rPr>
          <w:rFonts w:hint="eastAsia" w:ascii="仿宋_GB2312"/>
          <w:szCs w:val="32"/>
          <w:lang w:val="en-US" w:eastAsia="zh-CN"/>
        </w:rPr>
        <w:t>地区国有企业退休人员社会化管理财政补助资金</w:t>
      </w:r>
      <w:r>
        <w:rPr>
          <w:rFonts w:hint="eastAsia" w:ascii="仿宋_GB2312"/>
          <w:szCs w:val="32"/>
        </w:rPr>
        <w:t>预算和区域绩效目标情况。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eastAsia="仿宋_GB2312"/>
          <w:szCs w:val="32"/>
          <w:lang w:val="en-US" w:eastAsia="zh-CN"/>
        </w:rPr>
      </w:pPr>
      <w:r>
        <w:rPr>
          <w:rFonts w:hint="eastAsia" w:ascii="仿宋_GB2312"/>
          <w:szCs w:val="32"/>
          <w:lang w:val="en-US" w:eastAsia="zh-CN"/>
        </w:rPr>
        <w:t>友谊县收到中央下达本地区国有企业退休人员社会化管理财政补助资金1170.25万元。（省提前告知259.36万元，清算金额2020年+2021年资金910.89万元。）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00" w:firstLineChars="200"/>
        <w:textAlignment w:val="auto"/>
        <w:outlineLvl w:val="0"/>
        <w:rPr>
          <w:rFonts w:hint="eastAsia" w:ascii="仿宋_GB2312"/>
          <w:szCs w:val="32"/>
        </w:rPr>
      </w:pPr>
      <w:r>
        <w:rPr>
          <w:rFonts w:hint="eastAsia" w:ascii="仿宋_GB2312"/>
          <w:szCs w:val="32"/>
        </w:rPr>
        <w:t>省</w:t>
      </w:r>
      <w:r>
        <w:rPr>
          <w:rFonts w:hint="eastAsia" w:ascii="仿宋_GB2312"/>
          <w:szCs w:val="32"/>
          <w:lang w:val="en-US" w:eastAsia="zh-CN"/>
        </w:rPr>
        <w:t>级财政</w:t>
      </w:r>
      <w:r>
        <w:rPr>
          <w:rFonts w:hint="eastAsia" w:ascii="仿宋_GB2312"/>
          <w:szCs w:val="32"/>
        </w:rPr>
        <w:t>资金安排、分解下达本</w:t>
      </w:r>
      <w:r>
        <w:rPr>
          <w:rFonts w:hint="eastAsia" w:ascii="仿宋_GB2312"/>
          <w:szCs w:val="32"/>
          <w:lang w:val="en-US" w:eastAsia="zh-CN"/>
        </w:rPr>
        <w:t>地区国有企业退休人员社会化管理财政补助</w:t>
      </w:r>
      <w:r>
        <w:rPr>
          <w:rFonts w:hint="eastAsia" w:ascii="仿宋_GB2312"/>
          <w:szCs w:val="32"/>
        </w:rPr>
        <w:t>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default" w:ascii="仿宋_GB2312" w:eastAsia="仿宋_GB2312"/>
          <w:szCs w:val="32"/>
          <w:lang w:val="en-US" w:eastAsia="zh-CN"/>
        </w:rPr>
      </w:pPr>
      <w:r>
        <w:rPr>
          <w:rFonts w:hint="eastAsia" w:ascii="仿宋_GB2312"/>
          <w:szCs w:val="32"/>
          <w:lang w:val="en-US" w:eastAsia="zh-CN"/>
        </w:rPr>
        <w:t xml:space="preserve">     省级财政资金安排0.00万元。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00" w:firstLineChars="200"/>
        <w:textAlignment w:val="auto"/>
        <w:outlineLvl w:val="0"/>
        <w:rPr>
          <w:rFonts w:hint="eastAsia" w:ascii="仿宋_GB2312"/>
          <w:szCs w:val="32"/>
          <w:lang w:val="en-US" w:eastAsia="zh-CN"/>
        </w:rPr>
      </w:pPr>
      <w:r>
        <w:rPr>
          <w:rFonts w:hint="eastAsia" w:ascii="仿宋_GB2312"/>
          <w:szCs w:val="32"/>
          <w:lang w:val="en-US" w:eastAsia="zh-CN"/>
        </w:rPr>
        <w:t>本市（地）、县（区）级财政安排社会化管理资金及下达情况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outlineLvl w:val="0"/>
        <w:rPr>
          <w:rFonts w:hint="default" w:ascii="仿宋_GB2312"/>
          <w:szCs w:val="32"/>
          <w:lang w:val="en-US" w:eastAsia="zh-CN"/>
        </w:rPr>
      </w:pPr>
      <w:r>
        <w:rPr>
          <w:rFonts w:hint="eastAsia" w:ascii="仿宋_GB2312"/>
          <w:szCs w:val="32"/>
          <w:lang w:val="en-US" w:eastAsia="zh-CN"/>
        </w:rPr>
        <w:t>友谊县本级财政资金安排0.00万元。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bCs/>
          <w:szCs w:val="32"/>
        </w:rPr>
      </w:pPr>
      <w:r>
        <w:rPr>
          <w:rFonts w:hint="eastAsia" w:ascii="黑体" w:hAnsi="黑体" w:eastAsia="黑体" w:cs="黑体"/>
          <w:bCs/>
          <w:szCs w:val="32"/>
          <w:lang w:val="en-US" w:eastAsia="zh-CN"/>
        </w:rPr>
        <w:t>二</w:t>
      </w:r>
      <w:r>
        <w:rPr>
          <w:rFonts w:hint="eastAsia" w:ascii="黑体" w:hAnsi="黑体" w:eastAsia="黑体" w:cs="黑体"/>
          <w:bCs/>
          <w:szCs w:val="32"/>
        </w:rPr>
        <w:t>、绩效目标完成情况分析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hint="eastAsia" w:ascii="楷体_GB2312" w:hAnsi="楷体_GB2312" w:eastAsia="楷体_GB2312" w:cs="楷体_GB2312"/>
          <w:b/>
          <w:bCs/>
          <w:szCs w:val="32"/>
        </w:rPr>
      </w:pPr>
      <w:r>
        <w:rPr>
          <w:rFonts w:hint="eastAsia" w:ascii="楷体_GB2312" w:hAnsi="楷体_GB2312" w:eastAsia="楷体_GB2312" w:cs="楷体_GB2312"/>
          <w:b/>
          <w:bCs/>
          <w:szCs w:val="32"/>
        </w:rPr>
        <w:t>（一）资金投入情况分析。（分析资金执行和管理等情况。）</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hint="default"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友谊县国有企业退休人员社会化管理投入资金总额1170.25万元，其中：中央补助1170.25万元、省级补助0.00万元、本级投入0.00万元，全年执行1170.25万元、执行率100%。全部资金用于国有企业退休人员社会化管理工作。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02" w:firstLineChars="200"/>
        <w:textAlignment w:val="auto"/>
        <w:outlineLvl w:val="0"/>
        <w:rPr>
          <w:rFonts w:hint="eastAsia" w:ascii="楷体_GB2312" w:hAnsi="楷体_GB2312" w:eastAsia="楷体_GB2312" w:cs="楷体_GB2312"/>
          <w:b/>
          <w:bCs/>
          <w:szCs w:val="32"/>
        </w:rPr>
      </w:pPr>
      <w:r>
        <w:rPr>
          <w:rFonts w:hint="eastAsia" w:ascii="楷体_GB2312" w:hAnsi="楷体_GB2312" w:eastAsia="楷体_GB2312" w:cs="楷体_GB2312"/>
          <w:b/>
          <w:bCs/>
          <w:szCs w:val="32"/>
        </w:rPr>
        <w:t>总体绩效目标完成情况分析。（对照总体目标分析全年实际完成情况。）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 xml:space="preserve">    1.2021年年底前，将尚未实行社会化管理的国有企业已退休人员移交街道和社区实行社会化管理，已按要求全部完成。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textAlignment w:val="auto"/>
        <w:outlineLvl w:val="0"/>
        <w:rPr>
          <w:rFonts w:hint="default"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2.国有企业不承担移交后的退休人员社会化管理服务费用，已按要求全部完成。</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hint="eastAsia" w:ascii="楷体_GB2312" w:hAnsi="楷体_GB2312" w:eastAsia="楷体_GB2312" w:cs="楷体_GB2312"/>
          <w:b/>
          <w:bCs/>
          <w:szCs w:val="32"/>
        </w:rPr>
      </w:pPr>
      <w:r>
        <w:rPr>
          <w:rFonts w:hint="eastAsia" w:ascii="楷体_GB2312" w:hAnsi="楷体_GB2312" w:eastAsia="楷体_GB2312" w:cs="楷体_GB2312"/>
          <w:b/>
          <w:bCs/>
          <w:szCs w:val="32"/>
        </w:rPr>
        <w:t>（三）绩效指标完成情况分析。（根据各三级绩效指标值，逐项分析全年实际完成情况。）</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1.产出指标</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数量指标：2021年年底前，将</w:t>
      </w:r>
      <w:r>
        <w:rPr>
          <w:rFonts w:hint="eastAsia" w:ascii="楷体_GB2312" w:hAnsi="楷体_GB2312" w:eastAsia="楷体_GB2312" w:cs="楷体_GB2312"/>
          <w:b/>
          <w:bCs/>
          <w:color w:val="auto"/>
          <w:szCs w:val="32"/>
          <w:lang w:val="en-US" w:eastAsia="zh-CN"/>
        </w:rPr>
        <w:t>尚未实行</w:t>
      </w:r>
      <w:r>
        <w:rPr>
          <w:rFonts w:hint="eastAsia" w:ascii="楷体_GB2312" w:hAnsi="楷体_GB2312" w:eastAsia="楷体_GB2312" w:cs="楷体_GB2312"/>
          <w:b/>
          <w:bCs/>
          <w:szCs w:val="32"/>
          <w:lang w:val="en-US" w:eastAsia="zh-CN"/>
        </w:rPr>
        <w:t>社会化管理的国有企业已退休人员移交街道和社区实行社会化管理的比例，按照指标值100%，已全部完成。</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outlineLvl w:val="0"/>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时效指标：改革任务完成时限，按照指标值2021年12月底前，已全部完成。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textAlignment w:val="auto"/>
        <w:outlineLvl w:val="0"/>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2.效益指标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 xml:space="preserve">    经济效益指标：国有企业不承担移交后的退休人员社会化管理服务费用的比例，按照指标值100%,已全部完成。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textAlignment w:val="auto"/>
        <w:outlineLvl w:val="0"/>
        <w:rPr>
          <w:rFonts w:hint="eastAsia"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3.满意度指标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0"/>
        <w:rPr>
          <w:rFonts w:hint="default" w:ascii="楷体_GB2312" w:hAnsi="楷体_GB2312" w:eastAsia="楷体_GB2312" w:cs="楷体_GB2312"/>
          <w:b/>
          <w:bCs/>
          <w:szCs w:val="32"/>
          <w:lang w:val="en-US" w:eastAsia="zh-CN"/>
        </w:rPr>
      </w:pPr>
      <w:r>
        <w:rPr>
          <w:rFonts w:hint="eastAsia" w:ascii="楷体_GB2312" w:hAnsi="楷体_GB2312" w:eastAsia="楷体_GB2312" w:cs="楷体_GB2312"/>
          <w:b/>
          <w:bCs/>
          <w:szCs w:val="32"/>
          <w:lang w:val="en-US" w:eastAsia="zh-CN"/>
        </w:rPr>
        <w:t xml:space="preserve">    服务对象满意度指标：企业满意度指标，按照指标值85%，已全部完成。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bCs/>
          <w:szCs w:val="32"/>
        </w:rPr>
      </w:pPr>
      <w:r>
        <w:rPr>
          <w:rFonts w:hint="eastAsia" w:ascii="黑体" w:hAnsi="黑体" w:eastAsia="黑体" w:cs="黑体"/>
          <w:bCs/>
          <w:szCs w:val="32"/>
          <w:lang w:val="en-US" w:eastAsia="zh-CN"/>
        </w:rPr>
        <w:t>三</w:t>
      </w:r>
      <w:r>
        <w:rPr>
          <w:rFonts w:hint="eastAsia" w:ascii="黑体" w:hAnsi="黑体" w:eastAsia="黑体" w:cs="黑体"/>
          <w:bCs/>
          <w:szCs w:val="32"/>
        </w:rPr>
        <w:t>、偏离绩效目标的原因和下一步改进措施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_GB2312"/>
          <w:szCs w:val="32"/>
          <w:lang w:val="en-US"/>
        </w:rPr>
      </w:pPr>
      <w:r>
        <w:rPr>
          <w:rFonts w:hint="eastAsia" w:ascii="仿宋_GB2312"/>
          <w:szCs w:val="32"/>
          <w:lang w:val="en-US" w:eastAsia="zh-CN"/>
        </w:rPr>
        <w:t>友谊县国有企业退休人员社会化管理工作完全按照文件指示要求，无绩效目标偏离，下一步将继续按照中央、省市有关要求，将国有企业退休人员社会化管理工作做好，确保绩效目标如期实现。</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bCs/>
          <w:szCs w:val="32"/>
        </w:rPr>
      </w:pPr>
      <w:r>
        <w:rPr>
          <w:rFonts w:hint="eastAsia" w:ascii="黑体" w:hAnsi="黑体" w:eastAsia="黑体" w:cs="黑体"/>
          <w:bCs/>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szCs w:val="32"/>
          <w:lang w:val="en-US" w:eastAsia="zh-CN"/>
        </w:rPr>
      </w:pPr>
      <w:r>
        <w:rPr>
          <w:rFonts w:hint="eastAsia"/>
          <w:lang w:val="en-US" w:eastAsia="zh-CN"/>
        </w:rPr>
        <w:t>已在友谊县政府门户网公开，</w:t>
      </w:r>
      <w:r>
        <w:rPr>
          <w:rFonts w:hint="eastAsia" w:ascii="仿宋_GB2312"/>
          <w:szCs w:val="32"/>
          <w:lang w:val="en-US" w:eastAsia="zh-CN"/>
        </w:rPr>
        <w:t>作为下一年度预算资金安排的重要参考依据。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黑体" w:hAnsi="黑体" w:eastAsia="黑体" w:cs="黑体"/>
          <w:bCs/>
          <w:szCs w:val="32"/>
        </w:rPr>
      </w:pPr>
      <w:r>
        <w:rPr>
          <w:rFonts w:hint="eastAsia" w:ascii="黑体" w:hAnsi="黑体" w:eastAsia="黑体" w:cs="黑体"/>
          <w:bCs/>
          <w:szCs w:val="32"/>
          <w:lang w:val="en-US" w:eastAsia="zh-CN"/>
        </w:rPr>
        <w:t>五</w:t>
      </w:r>
      <w:r>
        <w:rPr>
          <w:rFonts w:hint="eastAsia" w:ascii="黑体" w:hAnsi="黑体" w:eastAsia="黑体" w:cs="黑体"/>
          <w:bCs/>
          <w:szCs w:val="32"/>
        </w:rPr>
        <w:t>、其他需说明的问题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pPr>
      <w:r>
        <w:rPr>
          <w:rFonts w:hint="eastAsia"/>
          <w:lang w:val="en-US" w:eastAsia="zh-CN"/>
        </w:rPr>
        <w:t>未经各级审计部门审计。</w:t>
      </w:r>
    </w:p>
    <w:sectPr>
      <w:pgSz w:w="11906" w:h="16838"/>
      <w:pgMar w:top="567" w:right="1474" w:bottom="90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0A8F"/>
    <w:multiLevelType w:val="singleLevel"/>
    <w:tmpl w:val="1A7E0A8F"/>
    <w:lvl w:ilvl="0" w:tentative="0">
      <w:start w:val="4"/>
      <w:numFmt w:val="chineseCounting"/>
      <w:suff w:val="nothing"/>
      <w:lvlText w:val="%1、"/>
      <w:lvlJc w:val="left"/>
      <w:rPr>
        <w:rFonts w:hint="eastAsia"/>
      </w:rPr>
    </w:lvl>
  </w:abstractNum>
  <w:abstractNum w:abstractNumId="1">
    <w:nsid w:val="2989933C"/>
    <w:multiLevelType w:val="singleLevel"/>
    <w:tmpl w:val="2989933C"/>
    <w:lvl w:ilvl="0" w:tentative="0">
      <w:start w:val="2"/>
      <w:numFmt w:val="chineseCounting"/>
      <w:suff w:val="nothing"/>
      <w:lvlText w:val="（%1）"/>
      <w:lvlJc w:val="left"/>
      <w:rPr>
        <w:rFonts w:hint="eastAsia"/>
      </w:rPr>
    </w:lvl>
  </w:abstractNum>
  <w:abstractNum w:abstractNumId="2">
    <w:nsid w:val="63BFEFCF"/>
    <w:multiLevelType w:val="singleLevel"/>
    <w:tmpl w:val="63BFEFCF"/>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D40E7"/>
    <w:rsid w:val="5C3D40E7"/>
    <w:rsid w:val="638D6C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2022-03-08T01:00:00Z</dcterms:created>
  <dc:creator>Administrator</dc:creator>
  <cp:lastModifiedBy>Administrator</cp:lastModifiedBy>
  <cp:lastPrinted>2022-03-09T23:35:35Z</cp:lastPrinted>
  <dcterms:modified xsi:type="dcterms:W3CDTF">2022-03-09T23:35:39Z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