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证明事项梳理情况统计表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填报单位</w:t>
      </w:r>
      <w:r>
        <w:rPr>
          <w:rFonts w:hint="eastAsia" w:ascii="宋体" w:hAnsi="宋体" w:cs="宋体"/>
          <w:sz w:val="28"/>
          <w:szCs w:val="28"/>
          <w:highlight w:val="none"/>
          <w:lang w:val="en-US" w:eastAsia="zh-CN"/>
        </w:rPr>
        <w:t>（公章）</w:t>
      </w:r>
      <w:r>
        <w:rPr>
          <w:rFonts w:hint="eastAsia" w:ascii="宋体" w:hAnsi="宋体" w:eastAsia="宋体" w:cs="宋体"/>
          <w:sz w:val="28"/>
          <w:szCs w:val="28"/>
          <w:highlight w:val="none"/>
          <w:lang w:val="en-US" w:eastAsia="zh-CN"/>
        </w:rPr>
        <w:t>：友谊县不动产登记中心              填报人：陈玉            联系方式：0469-5812467</w:t>
      </w:r>
    </w:p>
    <w:tbl>
      <w:tblPr>
        <w:tblStyle w:val="5"/>
        <w:tblW w:w="14611"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46"/>
        <w:gridCol w:w="1519"/>
        <w:gridCol w:w="4266"/>
        <w:gridCol w:w="1362"/>
        <w:gridCol w:w="1366"/>
        <w:gridCol w:w="643"/>
        <w:gridCol w:w="643"/>
        <w:gridCol w:w="643"/>
        <w:gridCol w:w="6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序号</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事项名称</w:t>
            </w:r>
          </w:p>
        </w:tc>
        <w:tc>
          <w:tcPr>
            <w:tcW w:w="1519"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用途</w:t>
            </w:r>
          </w:p>
        </w:tc>
        <w:tc>
          <w:tcPr>
            <w:tcW w:w="426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设定依据</w:t>
            </w:r>
          </w:p>
        </w:tc>
        <w:tc>
          <w:tcPr>
            <w:tcW w:w="136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索要单位</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开具单位</w:t>
            </w:r>
          </w:p>
        </w:tc>
        <w:tc>
          <w:tcPr>
            <w:tcW w:w="257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行使层级</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拟取消</w:t>
            </w:r>
            <w:r>
              <w:rPr>
                <w:rFonts w:hint="eastAsia" w:ascii="宋体" w:hAnsi="宋体" w:eastAsia="宋体" w:cs="宋体"/>
                <w:sz w:val="32"/>
                <w:szCs w:val="32"/>
                <w:highlight w:val="none"/>
                <w:vertAlign w:val="baseline"/>
                <w:lang w:val="en-US" w:eastAsia="zh-CN"/>
              </w:rPr>
              <w:t>/</w:t>
            </w:r>
            <w:r>
              <w:rPr>
                <w:rFonts w:hint="eastAsia" w:ascii="黑体" w:hAnsi="黑体" w:eastAsia="黑体" w:cs="黑体"/>
                <w:sz w:val="32"/>
                <w:szCs w:val="32"/>
                <w:highlight w:val="none"/>
                <w:vertAlign w:val="baseline"/>
                <w:lang w:val="en-US" w:eastAsia="zh-CN"/>
              </w:rPr>
              <w:t>保留/实行告知承诺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151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426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1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省级</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市级</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县级</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其他</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1</w:t>
            </w:r>
          </w:p>
        </w:tc>
        <w:tc>
          <w:tcPr>
            <w:tcW w:w="1446"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监护人证明或指定监护人关系证明</w:t>
            </w:r>
          </w:p>
        </w:tc>
        <w:tc>
          <w:tcPr>
            <w:tcW w:w="1519"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是否为监护人</w:t>
            </w:r>
          </w:p>
        </w:tc>
        <w:tc>
          <w:tcPr>
            <w:tcW w:w="4266" w:type="dxa"/>
            <w:textDirection w:val="lrTb"/>
            <w:vAlign w:val="center"/>
          </w:tcPr>
          <w:p>
            <w:pPr>
              <w:keepNext w:val="0"/>
              <w:keepLines w:val="0"/>
              <w:widowControl/>
              <w:suppressLineNumbers w:val="0"/>
              <w:jc w:val="both"/>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 xml:space="preserve">    《不动产登记实施细则暂行条例》中华人民共和国国土资源部令第63号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第十一条无民事行为能力人、限制民事行为能力人申请不动产登记的，应当由其监护人代为申请。监护人代为申请登记的，应当提供监护人与被监护人的身份证或者户口簿、有关监护关系等材料；父母之外的监护人处分未成年人不动产的，有关监护关系材料可以是人民法院指定监护的法律文书、经过公证的对被监护人享有监护权的材料或者其他材料。</w:t>
            </w:r>
          </w:p>
        </w:tc>
        <w:tc>
          <w:tcPr>
            <w:tcW w:w="1362"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县不动产登记中心</w:t>
            </w:r>
          </w:p>
        </w:tc>
        <w:tc>
          <w:tcPr>
            <w:tcW w:w="1366"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民政部门、法院、公证处</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color w:val="auto"/>
                <w:sz w:val="32"/>
                <w:szCs w:val="32"/>
                <w:highlight w:val="none"/>
                <w:lang w:val="en-US" w:eastAsia="zh-CN"/>
              </w:rPr>
              <w:t>√</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2</w:t>
            </w:r>
          </w:p>
        </w:tc>
        <w:tc>
          <w:tcPr>
            <w:tcW w:w="1446"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死亡证明</w:t>
            </w:r>
          </w:p>
        </w:tc>
        <w:tc>
          <w:tcPr>
            <w:tcW w:w="1519"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相对人是否死亡</w:t>
            </w:r>
          </w:p>
        </w:tc>
        <w:tc>
          <w:tcPr>
            <w:tcW w:w="4266" w:type="dxa"/>
            <w:textDirection w:val="lrTb"/>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 xml:space="preserve">    《不动产登记实施细则暂行条例》中华人民共和国国土资源部令第63号</w:t>
            </w:r>
          </w:p>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 xml:space="preserve">    第十四条 因继承、受遗赠取得不动产，当事人申请登记的，应当提交死亡证明材料、遗嘱或者全部法定继承人关于不动产分配的协议以及与被继承人的亲属关系材料等，也可以提交经公证的材料或者生效的法律文书。</w:t>
            </w:r>
          </w:p>
        </w:tc>
        <w:tc>
          <w:tcPr>
            <w:tcW w:w="1362"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县不动产登记中心</w:t>
            </w:r>
          </w:p>
        </w:tc>
        <w:tc>
          <w:tcPr>
            <w:tcW w:w="1366"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民政部门、公安、医院、公证部门</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color w:val="auto"/>
                <w:sz w:val="32"/>
                <w:szCs w:val="32"/>
                <w:highlight w:val="none"/>
                <w:lang w:val="en-US" w:eastAsia="zh-CN"/>
              </w:rPr>
              <w:t>√</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3</w:t>
            </w:r>
          </w:p>
        </w:tc>
        <w:tc>
          <w:tcPr>
            <w:tcW w:w="1446"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与被继承人的亲属关系证明</w:t>
            </w:r>
          </w:p>
        </w:tc>
        <w:tc>
          <w:tcPr>
            <w:tcW w:w="1519"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是否为亲属关系</w:t>
            </w:r>
          </w:p>
        </w:tc>
        <w:tc>
          <w:tcPr>
            <w:tcW w:w="4266" w:type="dxa"/>
            <w:textDirection w:val="lrTb"/>
            <w:vAlign w:val="center"/>
          </w:tcPr>
          <w:p>
            <w:pPr>
              <w:keepNext w:val="0"/>
              <w:keepLines w:val="0"/>
              <w:widowControl/>
              <w:suppressLineNumbers w:val="0"/>
              <w:ind w:firstLine="44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《不动产登记实施细则暂行条例》中华人民共和国国土资源部令第63号</w:t>
            </w:r>
          </w:p>
          <w:p>
            <w:pPr>
              <w:keepNext w:val="0"/>
              <w:keepLines w:val="0"/>
              <w:widowControl/>
              <w:suppressLineNumbers w:val="0"/>
              <w:ind w:firstLine="44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第十四条 因继承、受遗赠取得不动产，当事人申请登记的，应当提交死亡证明材料、遗嘱或者全部法定继承人关于不动产分配的协议以及与被继承人的亲属关系材料等，也可以提交经公证的材料或者生效的法律文书。</w:t>
            </w:r>
          </w:p>
        </w:tc>
        <w:tc>
          <w:tcPr>
            <w:tcW w:w="1362"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县不动产登记中心</w:t>
            </w:r>
          </w:p>
        </w:tc>
        <w:tc>
          <w:tcPr>
            <w:tcW w:w="1366" w:type="dxa"/>
            <w:textDirection w:val="lrTb"/>
            <w:vAlign w:val="center"/>
          </w:tcPr>
          <w:p>
            <w:pPr>
              <w:keepNext w:val="0"/>
              <w:keepLines w:val="0"/>
              <w:widowControl/>
              <w:suppressLineNumbers w:val="0"/>
              <w:jc w:val="center"/>
              <w:textAlignment w:val="center"/>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申请人或被继承人生前所在村（居）委会、社区、单位、公安机关</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宋体" w:hAnsi="宋体" w:eastAsia="宋体" w:cs="宋体"/>
                <w:color w:val="auto"/>
                <w:sz w:val="32"/>
                <w:szCs w:val="32"/>
                <w:highlight w:val="none"/>
                <w:lang w:val="en-US" w:eastAsia="zh-CN"/>
              </w:rPr>
              <w:t>√</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color w:val="auto"/>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保留</w:t>
            </w:r>
          </w:p>
        </w:tc>
      </w:tr>
    </w:tbl>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宋体" w:hAnsi="宋体" w:eastAsia="宋体" w:cs="宋体"/>
          <w:sz w:val="32"/>
          <w:szCs w:val="32"/>
          <w:highlight w:val="none"/>
          <w:lang w:val="en-US" w:eastAsia="zh-CN"/>
        </w:rPr>
      </w:pPr>
      <w:r>
        <w:rPr>
          <w:rFonts w:hint="eastAsia" w:ascii="黑体" w:hAnsi="黑体" w:eastAsia="黑体" w:cs="黑体"/>
          <w:sz w:val="32"/>
          <w:szCs w:val="32"/>
          <w:highlight w:val="none"/>
          <w:lang w:val="en-US" w:eastAsia="zh-CN"/>
        </w:rPr>
        <w:t>注</w:t>
      </w:r>
      <w:r>
        <w:rPr>
          <w:rFonts w:hint="eastAsia" w:ascii="宋体" w:hAnsi="宋体" w:eastAsia="宋体" w:cs="宋体"/>
          <w:sz w:val="32"/>
          <w:szCs w:val="32"/>
          <w:highlight w:val="none"/>
          <w:lang w:val="en-US" w:eastAsia="zh-CN"/>
        </w:rPr>
        <w:t>：1.“用途”栏中填写该证明事项用于办理具体</w:t>
      </w:r>
      <w:r>
        <w:rPr>
          <w:rFonts w:hint="eastAsia" w:ascii="宋体" w:hAnsi="宋体" w:cs="宋体"/>
          <w:sz w:val="32"/>
          <w:szCs w:val="32"/>
          <w:highlight w:val="none"/>
          <w:lang w:val="en-US" w:eastAsia="zh-CN"/>
        </w:rPr>
        <w:t>哪</w:t>
      </w:r>
      <w:r>
        <w:rPr>
          <w:rFonts w:hint="eastAsia" w:ascii="宋体" w:hAnsi="宋体" w:eastAsia="宋体" w:cs="宋体"/>
          <w:sz w:val="32"/>
          <w:szCs w:val="32"/>
          <w:highlight w:val="none"/>
          <w:lang w:val="en-US" w:eastAsia="zh-CN"/>
        </w:rPr>
        <w:t>项行政事项</w:t>
      </w:r>
      <w:r>
        <w:rPr>
          <w:rFonts w:hint="eastAsia" w:ascii="宋体" w:hAnsi="宋体" w:cs="宋体"/>
          <w:sz w:val="32"/>
          <w:szCs w:val="32"/>
          <w:highlight w:val="none"/>
          <w:lang w:val="en-US" w:eastAsia="zh-CN"/>
        </w:rPr>
        <w:t>；</w:t>
      </w:r>
      <w:r>
        <w:rPr>
          <w:rFonts w:hint="eastAsia" w:ascii="宋体" w:hAnsi="宋体" w:eastAsia="宋体" w:cs="宋体"/>
          <w:sz w:val="32"/>
          <w:szCs w:val="32"/>
          <w:highlight w:val="none"/>
          <w:lang w:val="en-US" w:eastAsia="zh-CN"/>
        </w:rPr>
        <w:t>相关行政事项已纳入黑龙江省政务服务事项管理平台的，应与平台名称保持一致。</w:t>
      </w:r>
      <w:r>
        <w:rPr>
          <w:rFonts w:hint="eastAsia" w:ascii="宋体" w:hAnsi="宋体" w:cs="宋体"/>
          <w:sz w:val="32"/>
          <w:szCs w:val="32"/>
          <w:highlight w:val="none"/>
          <w:lang w:val="en-US" w:eastAsia="zh-CN"/>
        </w:rPr>
        <w:t>2</w:t>
      </w:r>
      <w:r>
        <w:rPr>
          <w:rFonts w:hint="eastAsia" w:ascii="宋体" w:hAnsi="宋体" w:eastAsia="宋体" w:cs="宋体"/>
          <w:sz w:val="32"/>
          <w:szCs w:val="32"/>
          <w:highlight w:val="none"/>
          <w:lang w:val="en-US" w:eastAsia="zh-CN"/>
        </w:rPr>
        <w:t>.“设定依据”栏中应列明具体法律法规名称、令号（题注）以及具体条款。</w:t>
      </w:r>
      <w:r>
        <w:rPr>
          <w:rFonts w:hint="eastAsia" w:ascii="宋体" w:hAnsi="宋体" w:cs="宋体"/>
          <w:sz w:val="32"/>
          <w:szCs w:val="32"/>
          <w:highlight w:val="none"/>
          <w:lang w:val="en-US" w:eastAsia="zh-CN"/>
        </w:rPr>
        <w:t>3</w:t>
      </w:r>
      <w:r>
        <w:rPr>
          <w:rFonts w:hint="eastAsia" w:ascii="宋体" w:hAnsi="宋体" w:eastAsia="宋体" w:cs="宋体"/>
          <w:sz w:val="32"/>
          <w:szCs w:val="32"/>
          <w:highlight w:val="none"/>
          <w:lang w:val="en-US" w:eastAsia="zh-CN"/>
        </w:rPr>
        <w:t>.“行使层级”栏中√选索要证明单位的层级。4.最后一列中具体说明拟采取哪种处理方式。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不动产登记业务管理系统保留的证明事项清单（通用）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32"/>
          <w:szCs w:val="32"/>
          <w:highlight w:val="none"/>
          <w:lang w:val="en-US" w:eastAsia="zh-CN"/>
        </w:rPr>
      </w:pPr>
      <w:r>
        <w:rPr>
          <w:rFonts w:hint="eastAsia" w:ascii="宋体" w:hAnsi="宋体" w:eastAsia="宋体" w:cs="宋体"/>
          <w:sz w:val="28"/>
          <w:szCs w:val="28"/>
          <w:highlight w:val="none"/>
          <w:lang w:val="en-US" w:eastAsia="zh-CN"/>
        </w:rPr>
        <w:t>填报单位</w:t>
      </w:r>
      <w:r>
        <w:rPr>
          <w:rFonts w:hint="eastAsia" w:ascii="宋体" w:hAnsi="宋体" w:cs="宋体"/>
          <w:sz w:val="28"/>
          <w:szCs w:val="28"/>
          <w:highlight w:val="none"/>
          <w:lang w:val="en-US" w:eastAsia="zh-CN"/>
        </w:rPr>
        <w:t>（公章）</w:t>
      </w:r>
      <w:r>
        <w:rPr>
          <w:rFonts w:hint="eastAsia" w:ascii="宋体" w:hAnsi="宋体" w:eastAsia="宋体" w:cs="宋体"/>
          <w:sz w:val="28"/>
          <w:szCs w:val="28"/>
          <w:highlight w:val="none"/>
          <w:lang w:val="en-US" w:eastAsia="zh-CN"/>
        </w:rPr>
        <w:t>：友谊县不动产登记中心              填报人：陈玉            联系方式：0469-5812467</w:t>
      </w:r>
    </w:p>
    <w:tbl>
      <w:tblPr>
        <w:tblStyle w:val="5"/>
        <w:tblW w:w="14611"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46"/>
        <w:gridCol w:w="2074"/>
        <w:gridCol w:w="4207"/>
        <w:gridCol w:w="1114"/>
        <w:gridCol w:w="1118"/>
        <w:gridCol w:w="643"/>
        <w:gridCol w:w="643"/>
        <w:gridCol w:w="643"/>
        <w:gridCol w:w="6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序号</w:t>
            </w:r>
          </w:p>
        </w:tc>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事项名称</w:t>
            </w:r>
          </w:p>
        </w:tc>
        <w:tc>
          <w:tcPr>
            <w:tcW w:w="207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用途</w:t>
            </w:r>
          </w:p>
        </w:tc>
        <w:tc>
          <w:tcPr>
            <w:tcW w:w="420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设定依据</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索要单位</w:t>
            </w:r>
          </w:p>
        </w:tc>
        <w:tc>
          <w:tcPr>
            <w:tcW w:w="1118"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开具单位</w:t>
            </w:r>
          </w:p>
        </w:tc>
        <w:tc>
          <w:tcPr>
            <w:tcW w:w="257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行使层级</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是否实行告知承诺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207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420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highlight w:val="none"/>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p>
        </w:tc>
        <w:tc>
          <w:tcPr>
            <w:tcW w:w="1118"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省级</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市级</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县级</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其他</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1</w:t>
            </w:r>
          </w:p>
        </w:tc>
        <w:tc>
          <w:tcPr>
            <w:tcW w:w="1446"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监护人证明或指定监护人关系证明</w:t>
            </w:r>
          </w:p>
        </w:tc>
        <w:tc>
          <w:tcPr>
            <w:tcW w:w="2074"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是否为监护人</w:t>
            </w:r>
          </w:p>
        </w:tc>
        <w:tc>
          <w:tcPr>
            <w:tcW w:w="4207" w:type="dxa"/>
            <w:textDirection w:val="lrTb"/>
            <w:vAlign w:val="center"/>
          </w:tcPr>
          <w:p>
            <w:pPr>
              <w:keepNext w:val="0"/>
              <w:keepLines w:val="0"/>
              <w:widowControl/>
              <w:suppressLineNumbers w:val="0"/>
              <w:jc w:val="both"/>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 xml:space="preserve">    《不动产登记实施细则暂行条例》中华人民共和国国土资源部令第63号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第十一条无民事行为能力人、限制民事行为能力人申请不动产登记的，应当由其监护人代为申请。监护人代为申请登记的，应当提供监护人与被监护人的身份证或者户口簿、有关监护关系等材料；父母之外的监护人处分未成年人不动产的，有关监护关系材料可以是人民法院指定监护的法律文书、经过公证的对被监护人享有监护权的材料或者其他材料。</w:t>
            </w:r>
          </w:p>
        </w:tc>
        <w:tc>
          <w:tcPr>
            <w:tcW w:w="1114"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县不动产登记中心</w:t>
            </w:r>
          </w:p>
        </w:tc>
        <w:tc>
          <w:tcPr>
            <w:tcW w:w="1118"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民政部门、法院、公证处</w:t>
            </w: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宋体" w:hAnsi="宋体" w:eastAsia="宋体" w:cs="宋体"/>
                <w:color w:val="auto"/>
                <w:sz w:val="32"/>
                <w:szCs w:val="32"/>
                <w:highlight w:val="none"/>
                <w:lang w:val="en-US" w:eastAsia="zh-CN"/>
              </w:rPr>
              <w:t>√</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黑体" w:hAnsi="黑体" w:eastAsia="黑体" w:cs="黑体"/>
                <w:sz w:val="21"/>
                <w:szCs w:val="21"/>
                <w:highlight w:val="none"/>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2</w:t>
            </w:r>
          </w:p>
        </w:tc>
        <w:tc>
          <w:tcPr>
            <w:tcW w:w="1446"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死亡证明</w:t>
            </w:r>
          </w:p>
        </w:tc>
        <w:tc>
          <w:tcPr>
            <w:tcW w:w="2074"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相对人是否死亡</w:t>
            </w:r>
          </w:p>
        </w:tc>
        <w:tc>
          <w:tcPr>
            <w:tcW w:w="420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 xml:space="preserve">    《不动产登记实施细则暂行条例》中华人民共和国国土资源部令第63号</w:t>
            </w:r>
          </w:p>
          <w:p>
            <w:pPr>
              <w:keepNext w:val="0"/>
              <w:keepLines w:val="0"/>
              <w:widowControl/>
              <w:suppressLineNumbers w:val="0"/>
              <w:jc w:val="both"/>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 xml:space="preserve">    第十四条 因继承、受遗赠取得不动产，当事人申请登记的，应当提交死亡证明材料、遗嘱或者全部法定继承人关于不动产分配的协议以及与被继承人的亲属关系材料等，也可以提交经公证的材料或者生效的法律文书。</w:t>
            </w:r>
          </w:p>
        </w:tc>
        <w:tc>
          <w:tcPr>
            <w:tcW w:w="1114"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县不动产登记中心</w:t>
            </w:r>
          </w:p>
        </w:tc>
        <w:tc>
          <w:tcPr>
            <w:tcW w:w="1118"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民政部门、公安、医院、公证部门</w:t>
            </w: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宋体" w:hAnsi="宋体" w:eastAsia="宋体" w:cs="宋体"/>
                <w:color w:val="auto"/>
                <w:sz w:val="32"/>
                <w:szCs w:val="32"/>
                <w:highlight w:val="none"/>
                <w:lang w:val="en-US" w:eastAsia="zh-CN"/>
              </w:rPr>
              <w:t>√</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黑体" w:hAnsi="黑体" w:eastAsia="黑体" w:cs="黑体"/>
                <w:sz w:val="21"/>
                <w:szCs w:val="21"/>
                <w:highlight w:val="none"/>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黑体" w:hAnsi="黑体" w:eastAsia="黑体" w:cs="黑体"/>
                <w:color w:val="auto"/>
                <w:sz w:val="21"/>
                <w:szCs w:val="21"/>
                <w:highlight w:val="none"/>
                <w:vertAlign w:val="baseline"/>
                <w:lang w:val="en-US" w:eastAsia="zh-CN"/>
              </w:rPr>
              <w:t>3</w:t>
            </w:r>
          </w:p>
        </w:tc>
        <w:tc>
          <w:tcPr>
            <w:tcW w:w="1446"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与被继承人的亲属关系证明</w:t>
            </w:r>
          </w:p>
        </w:tc>
        <w:tc>
          <w:tcPr>
            <w:tcW w:w="2074"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是否为亲属关系</w:t>
            </w:r>
          </w:p>
        </w:tc>
        <w:tc>
          <w:tcPr>
            <w:tcW w:w="4207" w:type="dxa"/>
            <w:textDirection w:val="lrTb"/>
            <w:vAlign w:val="center"/>
          </w:tcPr>
          <w:p>
            <w:pPr>
              <w:keepNext w:val="0"/>
              <w:keepLines w:val="0"/>
              <w:widowControl/>
              <w:suppressLineNumbers w:val="0"/>
              <w:ind w:firstLine="44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《不动产登记实施细则暂行条例》中华人民共和国国土资源部令第63号</w:t>
            </w:r>
          </w:p>
          <w:p>
            <w:pPr>
              <w:keepNext w:val="0"/>
              <w:keepLines w:val="0"/>
              <w:widowControl/>
              <w:suppressLineNumbers w:val="0"/>
              <w:ind w:firstLine="440" w:firstLineChars="0"/>
              <w:jc w:val="both"/>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第十四条 因继承、受遗赠取得不动产，当事人申请登记的，应当提交死亡证明材料、遗嘱或者全部法定继承人关于不动产分配的协议以及与被继承人的亲属关系材料等，也可以提交经公证的材料或者生效的法律文书。</w:t>
            </w:r>
          </w:p>
        </w:tc>
        <w:tc>
          <w:tcPr>
            <w:tcW w:w="1114"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县不动产登记中心</w:t>
            </w:r>
          </w:p>
        </w:tc>
        <w:tc>
          <w:tcPr>
            <w:tcW w:w="1118" w:type="dxa"/>
            <w:textDirection w:val="lrTb"/>
            <w:vAlign w:val="center"/>
          </w:tcPr>
          <w:p>
            <w:pPr>
              <w:keepNext w:val="0"/>
              <w:keepLines w:val="0"/>
              <w:widowControl/>
              <w:suppressLineNumbers w:val="0"/>
              <w:jc w:val="center"/>
              <w:textAlignment w:val="center"/>
              <w:rPr>
                <w:rFonts w:hint="eastAsia" w:ascii="黑体" w:hAnsi="黑体" w:eastAsia="黑体" w:cs="黑体"/>
                <w:sz w:val="21"/>
                <w:szCs w:val="21"/>
                <w:highlight w:val="none"/>
                <w:vertAlign w:val="baseline"/>
                <w:lang w:val="en-US" w:eastAsia="zh-CN"/>
              </w:rPr>
            </w:pPr>
            <w:r>
              <w:rPr>
                <w:rFonts w:hint="eastAsia" w:ascii="宋体" w:hAnsi="宋体" w:eastAsia="宋体" w:cs="宋体"/>
                <w:i w:val="0"/>
                <w:color w:val="auto"/>
                <w:kern w:val="0"/>
                <w:sz w:val="22"/>
                <w:szCs w:val="22"/>
                <w:highlight w:val="none"/>
                <w:u w:val="none"/>
                <w:lang w:val="en-US" w:eastAsia="zh-CN" w:bidi="ar"/>
              </w:rPr>
              <w:t>申请人或被继承人生前所在村（居）委会、社区、单位、公安机关</w:t>
            </w: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64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宋体" w:hAnsi="宋体" w:eastAsia="宋体" w:cs="宋体"/>
                <w:color w:val="auto"/>
                <w:sz w:val="32"/>
                <w:szCs w:val="32"/>
                <w:highlight w:val="none"/>
                <w:lang w:val="en-US" w:eastAsia="zh-CN"/>
              </w:rPr>
              <w:t>√</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1"/>
                <w:szCs w:val="21"/>
                <w:highlight w:val="none"/>
                <w:vertAlign w:val="baseline"/>
                <w:lang w:val="en-US" w:eastAsia="zh-CN"/>
              </w:rPr>
            </w:pPr>
            <w:r>
              <w:rPr>
                <w:rFonts w:hint="eastAsia" w:ascii="黑体" w:hAnsi="黑体" w:eastAsia="黑体" w:cs="黑体"/>
                <w:sz w:val="21"/>
                <w:szCs w:val="21"/>
                <w:highlight w:val="none"/>
                <w:vertAlign w:val="baseline"/>
                <w:lang w:val="en-US" w:eastAsia="zh-CN"/>
              </w:rPr>
              <w:t>是</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sz w:val="32"/>
          <w:szCs w:val="32"/>
          <w:highlight w:val="none"/>
          <w:lang w:val="en-US" w:eastAsia="zh-CN"/>
        </w:rPr>
        <w:t>注</w:t>
      </w:r>
      <w:r>
        <w:rPr>
          <w:rFonts w:hint="eastAsia" w:ascii="宋体" w:hAnsi="宋体" w:eastAsia="宋体" w:cs="宋体"/>
          <w:sz w:val="32"/>
          <w:szCs w:val="32"/>
          <w:highlight w:val="none"/>
          <w:lang w:val="en-US" w:eastAsia="zh-CN"/>
        </w:rPr>
        <w:t>：1.“用途”栏中填写该证明事项用于办理具体</w:t>
      </w:r>
      <w:r>
        <w:rPr>
          <w:rFonts w:hint="eastAsia" w:ascii="宋体" w:hAnsi="宋体" w:cs="宋体"/>
          <w:sz w:val="32"/>
          <w:szCs w:val="32"/>
          <w:highlight w:val="none"/>
          <w:lang w:val="en-US" w:eastAsia="zh-CN"/>
        </w:rPr>
        <w:t>哪</w:t>
      </w:r>
      <w:r>
        <w:rPr>
          <w:rFonts w:hint="eastAsia" w:ascii="宋体" w:hAnsi="宋体" w:eastAsia="宋体" w:cs="宋体"/>
          <w:sz w:val="32"/>
          <w:szCs w:val="32"/>
          <w:highlight w:val="none"/>
          <w:lang w:val="en-US" w:eastAsia="zh-CN"/>
        </w:rPr>
        <w:t>项行政事项</w:t>
      </w:r>
      <w:r>
        <w:rPr>
          <w:rFonts w:hint="eastAsia" w:ascii="宋体" w:hAnsi="宋体" w:cs="宋体"/>
          <w:sz w:val="32"/>
          <w:szCs w:val="32"/>
          <w:highlight w:val="none"/>
          <w:lang w:val="en-US" w:eastAsia="zh-CN"/>
        </w:rPr>
        <w:t>；</w:t>
      </w:r>
      <w:r>
        <w:rPr>
          <w:rFonts w:hint="eastAsia" w:ascii="宋体" w:hAnsi="宋体" w:eastAsia="宋体" w:cs="宋体"/>
          <w:sz w:val="32"/>
          <w:szCs w:val="32"/>
          <w:highlight w:val="none"/>
          <w:lang w:val="en-US" w:eastAsia="zh-CN"/>
        </w:rPr>
        <w:t>相关行政事项已纳入黑龙江省政务服务事项管理平台的，应与平台名称保持一致。</w:t>
      </w:r>
      <w:r>
        <w:rPr>
          <w:rFonts w:hint="eastAsia" w:ascii="宋体" w:hAnsi="宋体" w:cs="宋体"/>
          <w:sz w:val="32"/>
          <w:szCs w:val="32"/>
          <w:highlight w:val="none"/>
          <w:lang w:val="en-US" w:eastAsia="zh-CN"/>
        </w:rPr>
        <w:t>2</w:t>
      </w:r>
      <w:r>
        <w:rPr>
          <w:rFonts w:hint="eastAsia" w:ascii="宋体" w:hAnsi="宋体" w:eastAsia="宋体" w:cs="宋体"/>
          <w:sz w:val="32"/>
          <w:szCs w:val="32"/>
          <w:highlight w:val="none"/>
          <w:lang w:val="en-US" w:eastAsia="zh-CN"/>
        </w:rPr>
        <w:t>.“设定依据”栏中应列明具体法律法规名称、令号（题注）以及具体条款。</w:t>
      </w:r>
      <w:r>
        <w:rPr>
          <w:rFonts w:hint="eastAsia" w:ascii="宋体" w:hAnsi="宋体" w:cs="宋体"/>
          <w:sz w:val="32"/>
          <w:szCs w:val="32"/>
          <w:highlight w:val="none"/>
          <w:lang w:val="en-US" w:eastAsia="zh-CN"/>
        </w:rPr>
        <w:t>3</w:t>
      </w:r>
      <w:r>
        <w:rPr>
          <w:rFonts w:hint="eastAsia" w:ascii="宋体" w:hAnsi="宋体" w:eastAsia="宋体" w:cs="宋体"/>
          <w:sz w:val="32"/>
          <w:szCs w:val="32"/>
          <w:highlight w:val="none"/>
          <w:lang w:val="en-US" w:eastAsia="zh-CN"/>
        </w:rPr>
        <w:t>.“行使层级”栏中√选索要证明单位的层级。4.最后一列中说明是否实行告知承诺制。</w:t>
      </w:r>
    </w:p>
    <w:p>
      <w:pPr/>
    </w:p>
    <w:sectPr>
      <w:pgSz w:w="16838" w:h="11906" w:orient="landscape"/>
      <w:pgMar w:top="1800" w:right="1553" w:bottom="1800" w:left="15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614FF"/>
    <w:rsid w:val="038753D5"/>
    <w:rsid w:val="06B6300F"/>
    <w:rsid w:val="06F614FF"/>
    <w:rsid w:val="087F5E7D"/>
    <w:rsid w:val="10B647F9"/>
    <w:rsid w:val="1B7D1E2E"/>
    <w:rsid w:val="1C7E55CF"/>
    <w:rsid w:val="1EA44F54"/>
    <w:rsid w:val="1EDF373A"/>
    <w:rsid w:val="21930B30"/>
    <w:rsid w:val="247840E5"/>
    <w:rsid w:val="25CE6C15"/>
    <w:rsid w:val="2703598D"/>
    <w:rsid w:val="28347384"/>
    <w:rsid w:val="2B0471A2"/>
    <w:rsid w:val="2CDD482A"/>
    <w:rsid w:val="2F627A4C"/>
    <w:rsid w:val="30F77AE2"/>
    <w:rsid w:val="330246BF"/>
    <w:rsid w:val="36690254"/>
    <w:rsid w:val="37C83693"/>
    <w:rsid w:val="3CF84295"/>
    <w:rsid w:val="40C94F5B"/>
    <w:rsid w:val="4229039A"/>
    <w:rsid w:val="44162144"/>
    <w:rsid w:val="4C486BB6"/>
    <w:rsid w:val="4F506B2E"/>
    <w:rsid w:val="514F4075"/>
    <w:rsid w:val="547B54A6"/>
    <w:rsid w:val="5A51593C"/>
    <w:rsid w:val="5BEA7C5C"/>
    <w:rsid w:val="5D9D50A4"/>
    <w:rsid w:val="5DD3777C"/>
    <w:rsid w:val="5FA863FE"/>
    <w:rsid w:val="5FE46263"/>
    <w:rsid w:val="6A3D1F60"/>
    <w:rsid w:val="740B676D"/>
    <w:rsid w:val="745F1A7B"/>
    <w:rsid w:val="760B1736"/>
    <w:rsid w:val="76617F46"/>
    <w:rsid w:val="7B9030C7"/>
    <w:rsid w:val="7EFF756B"/>
    <w:rsid w:val="7F2155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2022-08-25T02:39:00Z</dcterms:created>
  <dc:creator>Administrator</dc:creator>
  <cp:lastModifiedBy>Administrator</cp:lastModifiedBy>
  <cp:lastPrinted>2022-08-26T00:04:14Z</cp:lastPrinted>
  <dcterms:modified xsi:type="dcterms:W3CDTF">2022-08-26T00:05:30Z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